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  第2部分</w:t>
      </w:r>
    </w:p>
    <w:p>
      <w:r>
        <w:rPr>
          <w:rFonts w:ascii="宋体" w:hAnsi="宋体" w:eastAsia="宋体"/>
          <w:sz w:val="24"/>
        </w:rPr>
        <w:t>（苏）华西利也夫（В.З.Василъев）等著；吴克敏等译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（苏）华西利也夫（В.З.Василъев）等著；吴克敏等译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本书出售、求购地址：https://www.jiaokey.com/book/detail/11059810.html</w:t>
      </w:r>
    </w:p>
    <w:p>
      <w:r>
        <w:t>更多相关图书推荐：https://www.jiaokey.com</w:t>
      </w:r>
    </w:p>
    <w:p>
      <w:r>
        <w:t>（苏）华西利也夫（В.З.Василъев）等著；吴克敏等译 其他作品：https://www.jiaokey.com/tag/（苏）华西利也夫（В.З.Василъев）等著；吴克敏等译.html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关键词搜索：https://www.jiaokey.com/tag/机械零件手册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