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学校建筑物设计经济问题</w:t>
      </w:r>
    </w:p>
    <w:p>
      <w:r>
        <w:rPr>
          <w:rFonts w:ascii="宋体" w:hAnsi="宋体" w:eastAsia="宋体"/>
          <w:sz w:val="24"/>
        </w:rPr>
        <w:t>（苏）爱斯特罗夫（Э.И.Эстров）著；陆振兴，刘国钧译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学校建筑物设计经济问题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（苏）爱斯特罗夫（Э.И.Эстров）著；陆振兴，刘国钧译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本书出售、求购地址：https://www.jiaokey.com/book/detail/11055191.html</w:t>
      </w:r>
    </w:p>
    <w:p>
      <w:r>
        <w:t>更多相关图书推荐：https://www.jiaokey.com</w:t>
      </w:r>
    </w:p>
    <w:p>
      <w:r>
        <w:t>（苏）爱斯特罗夫（Э.И.Эстров）著；陆振兴，刘国钧译 其他作品：https://www.jiaokey.com/tag/（苏）爱斯特罗夫（Э.И.Эстров）著；陆振兴，刘国钧译.html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关键词搜索：https://www.jiaokey.com/tag/学校建筑物设计经济问题.html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