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螺旋真空压坯机及真空装置</w:t>
      </w:r>
    </w:p>
    <w:p>
      <w:r>
        <w:rPr>
          <w:rFonts w:ascii="宋体" w:hAnsi="宋体" w:eastAsia="宋体"/>
          <w:sz w:val="24"/>
        </w:rPr>
        <w:t>（苏）特列齐雅科夫（И.М.Третьяков），（苏）高鲁博维奇（С.Р.Голубович）著；北京新都砖厂译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螺旋真空压坯机及真空装置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（苏）特列齐雅科夫（И.М.Третьяков），（苏）高鲁博维奇（С.Р.Голубович）著；北京新都砖厂译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本书出售、求购地址：https://www.jiaokey.com/book/detail/11055120.html</w:t>
      </w:r>
    </w:p>
    <w:p>
      <w:r>
        <w:t>更多相关图书推荐：https://www.jiaokey.com</w:t>
      </w:r>
    </w:p>
    <w:p>
      <w:r>
        <w:t>（苏）特列齐雅科夫（И.М.Третьяков），（苏）高鲁博维奇（С.Р.Голубович）著；北京新都砖厂译 其他作品：https://www.jiaokey.com/tag/（苏）特列齐雅科夫（И.М.Третьяков），（苏）高鲁博维奇（С.Р.Голубович）著；北京新都砖厂译.html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关键词搜索：https://www.jiaokey.com/tag/螺旋真空压坯机及真空装置.html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