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钢筋混凝土联合钢结构设计</w:t>
      </w:r>
    </w:p>
    <w:p>
      <w:r>
        <w:rPr>
          <w:rFonts w:ascii="宋体" w:hAnsi="宋体" w:eastAsia="宋体"/>
          <w:sz w:val="24"/>
        </w:rPr>
        <w:t>（苏）纪卜西曼（Е.Е.Гибшман）著；高伟刚，张成德译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钢筋混凝土联合钢结构设计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（苏）纪卜西曼（Е.Е.Гибшман）著；高伟刚，张成德译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本书出售、求购地址：https://www.jiaokey.com/book/detail/11054961.html</w:t>
      </w:r>
    </w:p>
    <w:p>
      <w:r>
        <w:t>更多相关图书推荐：https://www.jiaokey.com</w:t>
      </w:r>
    </w:p>
    <w:p>
      <w:r>
        <w:t>（苏）纪卜西曼（Е.Е.Гибшман）著；高伟刚，张成德译 其他作品：https://www.jiaokey.com/tag/（苏）纪卜西曼（Е.Е.Гибшман）著；高伟刚，张成德译.html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关键词搜索：https://www.jiaokey.com/tag/钢筋混凝土联合钢结构设计.html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