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垂直悬杆式及斜悬杆式桥拱的计算</w:t>
      </w:r>
    </w:p>
    <w:p>
      <w:r>
        <w:rPr>
          <w:rFonts w:ascii="宋体" w:hAnsi="宋体" w:eastAsia="宋体"/>
          <w:sz w:val="24"/>
        </w:rPr>
        <w:t>А.Я.阿斯特瓦差屠洛夫著；程刚，李寿祯译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垂直悬杆式及斜悬杆式桥拱的计算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А.Я.阿斯特瓦差屠洛夫著；程刚，李寿祯译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本书出售、求购地址：https://www.jiaokey.com/book/detail/11054950.html</w:t>
      </w:r>
    </w:p>
    <w:p>
      <w:r>
        <w:t>更多相关图书推荐：https://www.jiaokey.com</w:t>
      </w:r>
    </w:p>
    <w:p>
      <w:r>
        <w:t>А.Я.阿斯特瓦差屠洛夫著；程刚，李寿祯译 其他作品：https://www.jiaokey.com/tag/А.Я.阿斯特瓦差屠洛夫著；程刚，李寿祯译.html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关键词搜索：https://www.jiaokey.com/tag/垂直悬杆式及斜悬杆式桥拱的计算.html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