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处理放射性同位素的现代设备</w:t>
      </w:r>
    </w:p>
    <w:p>
      <w:r>
        <w:rPr>
          <w:rFonts w:ascii="宋体" w:hAnsi="宋体" w:eastAsia="宋体"/>
          <w:sz w:val="24"/>
        </w:rPr>
        <w:t>（苏）波契柯雷夫（В.В.Бочкорев）等著；伍丽素，范毅克译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处理放射性同位素的现代设备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（苏）波契柯雷夫（В.В.Бочкорев）等著；伍丽素，范毅克译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本书出售、求购地址：https://www.jiaokey.com/book/detail/11049206.html</w:t>
      </w:r>
    </w:p>
    <w:p>
      <w:r>
        <w:t>更多相关图书推荐：https://www.jiaokey.com</w:t>
      </w:r>
    </w:p>
    <w:p>
      <w:r>
        <w:t>（苏）波契柯雷夫（В.В.Бочкорев）等著；伍丽素，范毅克译 其他作品：https://www.jiaokey.com/tag/（苏）波契柯雷夫（В.В.Бочкорев）等著；伍丽素，范毅克译.html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关键词搜索：https://www.jiaokey.com/tag/处理放射性同位素的现代设备.html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