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  绘画奇才</w:t>
      </w:r>
    </w:p>
    <w:p>
      <w:r>
        <w:rPr>
          <w:rFonts w:ascii="宋体" w:hAnsi="宋体" w:eastAsia="宋体"/>
          <w:sz w:val="24"/>
        </w:rPr>
        <w:t>（法）克里斯托夫·多米诺（Christophe Domino）原著；陈惠儿译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  绘画奇才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（法）克里斯托夫·多米诺（Christophe Domino）原著；陈惠儿译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本书出售、求购地址：https://www.jiaokey.com/book/detail/11048198.html</w:t>
      </w:r>
    </w:p>
    <w:p>
      <w:r>
        <w:t>更多相关图书推荐：https://www.jiaokey.com</w:t>
      </w:r>
    </w:p>
    <w:p>
      <w:r>
        <w:t>（法）克里斯托夫·多米诺（Christophe Domino）原著；陈惠儿译 其他作品：https://www.jiaokey.com/tag/（法）克里斯托夫·多米诺（Christophe Domino）原著；陈惠儿译.html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关键词搜索：https://www.jiaokey.com/tag/培根  绘画奇才.html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