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栽培植物的水分循环</w:t>
      </w:r>
    </w:p>
    <w:p>
      <w:r>
        <w:rPr>
          <w:rFonts w:ascii="宋体" w:hAnsi="宋体" w:eastAsia="宋体"/>
          <w:sz w:val="24"/>
        </w:rPr>
        <w:t>（苏）阿尔巴捷夫（Алцатьев）著；卢其尧译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栽培植物的水分循环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（苏）阿尔巴捷夫（Алцатьев）著；卢其尧译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本书出售、求购地址：https://www.jiaokey.com/book/detail/11044355.html</w:t>
      </w:r>
    </w:p>
    <w:p>
      <w:r>
        <w:t>更多相关图书推荐：https://www.jiaokey.com</w:t>
      </w:r>
    </w:p>
    <w:p>
      <w:r>
        <w:t>（苏）阿尔巴捷夫（Алцатьев）著；卢其尧译 其他作品：https://www.jiaokey.com/tag/（苏）阿尔巴捷夫（Алцатьев）著；卢其尧译.html</w:t>
      </w:r>
    </w:p>
    <w:p>
      <w:r>
        <w:t>北京市：财政经济出版社 出版图书：https://www.jiaokey.com/tag/北京市：财政经济出版社.html</w:t>
      </w:r>
    </w:p>
    <w:p>
      <w:r>
        <w:t>关键词搜索：https://www.jiaokey.com/tag/栽培植物的水分循环.html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