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无井采矿法  地下浸出法</w:t>
      </w:r>
    </w:p>
    <w:p>
      <w:r>
        <w:rPr>
          <w:rFonts w:ascii="宋体" w:hAnsi="宋体" w:eastAsia="宋体"/>
          <w:sz w:val="24"/>
        </w:rPr>
        <w:t>（苏联）И.Н.卢切思科，В.И.别列茨基著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无井采矿法  地下浸出法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（苏联）И.Н.卢切思科，В.И.别列茨基著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核工业第六研究所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本书出售、求购地址：https://www.jiaokey.com/book/detail/11043910.html</w:t>
      </w:r>
    </w:p>
    <w:p>
      <w:r>
        <w:t>更多相关图书推荐：https://www.jiaokey.com</w:t>
      </w:r>
    </w:p>
    <w:p>
      <w:r>
        <w:t>（苏联）И.Н.卢切思科，В.И.别列茨基著 其他作品：https://www.jiaokey.com/tag/（苏联）И.Н.卢切思科，В.И.别列茨基著.html</w:t>
      </w:r>
    </w:p>
    <w:p>
      <w:r>
        <w:t>核工业第六研究所 出版图书：https://www.jiaokey.com/tag/核工业第六研究所.html</w:t>
      </w:r>
    </w:p>
    <w:p>
      <w:r>
        <w:t>关键词搜索：https://www.jiaokey.com/tag/无井采矿法  地下浸出法.html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