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上</w:t>
      </w:r>
    </w:p>
    <w:p>
      <w:r>
        <w:rPr>
          <w:rFonts w:ascii="宋体" w:hAnsi="宋体" w:eastAsia="宋体"/>
          <w:sz w:val="24"/>
        </w:rPr>
        <w:t>Е.А.扎马林，В.В.方捷耶夫著；中华人民共和国水利部专家工作室译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Е.А.扎马林，В.В.方捷耶夫著；中华人民共和国水利部专家工作室译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本书出售、求购地址：https://www.jiaokey.com/book/detail/11043556.html</w:t>
      </w:r>
    </w:p>
    <w:p>
      <w:r>
        <w:t>更多相关图书推荐：https://www.jiaokey.com</w:t>
      </w:r>
    </w:p>
    <w:p>
      <w:r>
        <w:t>Е.А.扎马林，В.В.方捷耶夫著；中华人民共和国水利部专家工作室译 其他作品：https://www.jiaokey.com/tag/Е.А.扎马林，В.В.方捷耶夫著；中华人民共和国水利部专家工作室译.html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关键词搜索：https://www.jiaokey.com/tag/水工建筑物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