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农田排水</w:t>
      </w:r>
    </w:p>
    <w:p>
      <w:r>
        <w:rPr>
          <w:rFonts w:ascii="宋体" w:hAnsi="宋体" w:eastAsia="宋体"/>
          <w:sz w:val="24"/>
        </w:rPr>
        <w:t>（苏）格伊特曼（Б.Г.Гейтман），（苏）皮萨里科夫（Х.А.Писарьков）著；汪德佑等译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（苏）格伊特曼（Б.Г.Гейтман），（苏）皮萨里科夫（Х.А.Писарьков）著；汪德佑等译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本书出售、求购地址：https://www.jiaokey.com/book/detail/11043168.html</w:t>
      </w:r>
    </w:p>
    <w:p>
      <w:r>
        <w:t>更多相关图书推荐：https://www.jiaokey.com</w:t>
      </w:r>
    </w:p>
    <w:p>
      <w:r>
        <w:t>（苏）格伊特曼（Б.Г.Гейтман），（苏）皮萨里科夫（Х.А.Писарьков）著；汪德佑等译 其他作品：https://www.jiaokey.com/tag/（苏）格伊特曼（Б.Г.Гейтман），（苏）皮萨里科夫（Х.А.Писарьков）著；汪德佑等译.html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关键词搜索：https://www.jiaokey.com/tag/农田排水.html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