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城市道路经营</w:t>
      </w:r>
    </w:p>
    <w:p>
      <w:r>
        <w:rPr>
          <w:rFonts w:ascii="宋体" w:hAnsi="宋体" w:eastAsia="宋体"/>
          <w:sz w:val="24"/>
        </w:rPr>
        <w:t>（苏）巴格达萨罗夫（С.М.Багдасаров），（苏）兰次别尔格（Ю.С.Ланцберг）著；张佐周等译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（苏）巴格达萨罗夫（С.М.Багдасаров），（苏）兰次别尔格（Ю.С.Ланцберг）著；张佐周等译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本书出售、求购地址：https://www.jiaokey.com/book/detail/11041807.html</w:t>
      </w:r>
    </w:p>
    <w:p>
      <w:r>
        <w:t>更多相关图书推荐：https://www.jiaokey.com</w:t>
      </w:r>
    </w:p>
    <w:p>
      <w:r>
        <w:t>（苏）巴格达萨罗夫（С.М.Багдасаров），（苏）兰次别尔格（Ю.С.Ланцберг）著；张佐周等译 其他作品：https://www.jiaokey.com/tag/（苏）巴格达萨罗夫（С.М.Багдасаров），（苏）兰次别尔格（Ю.С.Ланцберг）著；张佐周等译.html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关键词搜索：https://www.jiaokey.com/tag/城市道路经营.html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