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成功开发和管理核心客户  80%的利润来自20%的核心客户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成功开发和管理核心客户  80%的利润来自20%的核心客户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本书出售、求购地址：https://www.jiaokey.com/book/detail/11041045.html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关键词搜索：https://www.jiaokey.com/tag/成功开发和管理核心客户  80%的利润来自20%的核心客户.html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