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防治污染设备经营策略与问题解析</w:t>
      </w:r>
    </w:p>
    <w:p>
      <w:r>
        <w:rPr>
          <w:rFonts w:ascii="宋体" w:hAnsi="宋体" w:eastAsia="宋体"/>
          <w:sz w:val="24"/>
        </w:rPr>
        <w:t>丁锡镛等著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防治污染设备经营策略与问题解析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丁锡镛等著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台湾岚德科技顾问有限公司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本书出售、求购地址：https://www.jiaokey.com/book/detail/11037665.html</w:t>
      </w:r>
    </w:p>
    <w:p>
      <w:r>
        <w:t>更多相关图书推荐：https://www.jiaokey.com</w:t>
      </w:r>
    </w:p>
    <w:p>
      <w:r>
        <w:t>丁锡镛等著 其他作品：https://www.jiaokey.com/tag/丁锡镛等著.html</w:t>
      </w:r>
    </w:p>
    <w:p>
      <w:r>
        <w:t>台湾岚德科技顾问有限公司 出版图书：https://www.jiaokey.com/tag/台湾岚德科技顾问有限公司.html</w:t>
      </w:r>
    </w:p>
    <w:p>
      <w:r>
        <w:t>关键词搜索：https://www.jiaokey.com/tag/防治污染设备经营策略与问题解析.html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