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生物与文化基因上的图式  风水与理想景观的深层意义</w:t>
      </w:r>
    </w:p>
    <w:p>
      <w:r>
        <w:rPr>
          <w:rFonts w:ascii="宋体" w:hAnsi="宋体" w:eastAsia="宋体"/>
          <w:sz w:val="24"/>
        </w:rPr>
        <w:t>俞孔坚著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生物与文化基因上的图式  风水与理想景观的深层意义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俞孔坚著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田园城市文化事业有限公司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本书出售、求购地址：https://www.jiaokey.com/book/detail/11037335.html</w:t>
      </w:r>
    </w:p>
    <w:p>
      <w:r>
        <w:t>更多相关图书推荐：https://www.jiaokey.com</w:t>
      </w:r>
    </w:p>
    <w:p>
      <w:r>
        <w:t>俞孔坚著 其他作品：https://www.jiaokey.com/tag/俞孔坚著.html</w:t>
      </w:r>
    </w:p>
    <w:p>
      <w:r>
        <w:t>田园城市文化事业有限公司 出版图书：https://www.jiaokey.com/tag/田园城市文化事业有限公司.html</w:t>
      </w:r>
    </w:p>
    <w:p>
      <w:r>
        <w:t>关键词搜索：https://www.jiaokey.com/tag/生物与文化基因上的图式  风水与理想景观的深层意义.html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