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成药分析</w:t>
      </w:r>
    </w:p>
    <w:p>
      <w:r>
        <w:rPr>
          <w:rFonts w:ascii="宋体" w:hAnsi="宋体" w:eastAsia="宋体"/>
          <w:sz w:val="24"/>
        </w:rPr>
        <w:t>（苏）皮列里曼（Я.М.Перльман），（苏）布罗特斯基（Б.А.Бродский）著；华东药学院教务处翻译组译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（苏）皮列里曼（Я.М.Перльман），（苏）布罗特斯基（Б.А.Бродский）著；华东药学院教务处翻译组译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本书出售、求购地址：https://www.jiaokey.com/book/detail/11036781.html</w:t>
      </w:r>
    </w:p>
    <w:p>
      <w:r>
        <w:t>更多相关图书推荐：https://www.jiaokey.com</w:t>
      </w:r>
    </w:p>
    <w:p>
      <w:r>
        <w:t>（苏）皮列里曼（Я.М.Перльман），（苏）布罗特斯基（Б.А.Бродский）著；华东药学院教务处翻译组译 其他作品：https://www.jiaokey.com/tag/（苏）皮列里曼（Я.М.Перльман），（苏）布罗特斯基（Б.А.Бродский）著；华东药学院教务处翻译组译.html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