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高级神经活动和皮层内脏相互关系</w:t>
      </w:r>
    </w:p>
    <w:p>
      <w:r>
        <w:rPr>
          <w:rFonts w:ascii="宋体" w:hAnsi="宋体" w:eastAsia="宋体"/>
          <w:sz w:val="24"/>
        </w:rPr>
        <w:t>（苏）弗尔包尔特（Г.В.Хощборт）著；湖南医学院病理生理学教研组、生理学教研组译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高级神经活动和皮层内脏相互关系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（苏）弗尔包尔特（Г.В.Хощборт）著；湖南医学院病理生理学教研组、生理学教研组译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本书出售、求购地址：https://www.jiaokey.com/book/detail/11036611.html</w:t>
      </w:r>
    </w:p>
    <w:p>
      <w:r>
        <w:t>更多相关图书推荐：https://www.jiaokey.com</w:t>
      </w:r>
    </w:p>
    <w:p>
      <w:r>
        <w:t>（苏）弗尔包尔特（Г.В.Хощборт）著；湖南医学院病理生理学教研组、生理学教研组译 其他作品：https://www.jiaokey.com/tag/（苏）弗尔包尔特（Г.В.Хощборт）著；湖南医学院病理生理学教研组、生理学教研组译.html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关键词搜索：https://www.jiaokey.com/tag/高级神经活动和皮层内脏相互关系.html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