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黄石公三略兵法</w:t>
      </w:r>
    </w:p>
    <w:p>
      <w:r>
        <w:rPr>
          <w:rFonts w:ascii="宋体" w:hAnsi="宋体" w:eastAsia="宋体"/>
          <w:sz w:val="24"/>
        </w:rPr>
        <w:t>黄石公原著；本社兵法研究组主著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黄石公三略兵法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黄石公原著；本社兵法研究组主著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台湾：联亚出版社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本书出售、求购地址：https://www.jiaokey.com/book/detail/11032763.html</w:t>
      </w:r>
    </w:p>
    <w:p>
      <w:r>
        <w:t>更多相关图书推荐：https://www.jiaokey.com</w:t>
      </w:r>
    </w:p>
    <w:p>
      <w:r>
        <w:t>黄石公原著；本社兵法研究组主著 其他作品：https://www.jiaokey.com/tag/黄石公原著；本社兵法研究组主著.html</w:t>
      </w:r>
    </w:p>
    <w:p>
      <w:r>
        <w:t>台湾：联亚出版社 出版图书：https://www.jiaokey.com/tag/台湾：联亚出版社.html</w:t>
      </w:r>
    </w:p>
    <w:p>
      <w:r>
        <w:t>关键词搜索：https://www.jiaokey.com/tag/黄石公三略兵法.html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