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钻探泥浆应用指南</w:t>
      </w:r>
    </w:p>
    <w:p>
      <w:r>
        <w:rPr>
          <w:rFonts w:ascii="宋体" w:hAnsi="宋体" w:eastAsia="宋体"/>
          <w:sz w:val="24"/>
        </w:rPr>
        <w:t>（苏）马克西莫维奇（Н.А.Максимович）著；苏联地质保矿部全苏矿物原料科学研究所编；傅亮译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钻探泥浆应用指南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（苏）马克西莫维奇（Н.А.Максимович）著；苏联地质保矿部全苏矿物原料科学研究所编；傅亮译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钻井泥浆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本书出售、求购地址：https://www.jiaokey.com/book/detail/11030668.html</w:t>
      </w:r>
    </w:p>
    <w:p>
      <w:r>
        <w:t>更多相关图书推荐：https://www.jiaokey.com</w:t>
      </w:r>
    </w:p>
    <w:p>
      <w:r>
        <w:t>（苏）马克西莫维奇（Н.А.Максимович）著；苏联地质保矿部全苏矿物原料科学研究所编；傅亮译 其他作品：https://www.jiaokey.com/tag/（苏）马克西莫维奇（Н.А.Максимович）著；苏联地质保矿部全苏矿物原料科学研究所编；傅亮译.html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关键词搜索：https://www.jiaokey.com/tag/钻井泥浆.html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