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苦炼</w:t>
      </w:r>
    </w:p>
    <w:p>
      <w:r>
        <w:rPr>
          <w:rFonts w:ascii="宋体" w:hAnsi="宋体" w:eastAsia="宋体"/>
          <w:sz w:val="24"/>
        </w:rPr>
        <w:t>（法）玛格丽特·尤瑟纳尔（Marguerite Yourcenar）著；赵克非译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本书出售、求购地址：https://www.jiaokey.com/book/detail/11030107.html</w:t>
      </w:r>
    </w:p>
    <w:p>
      <w:r>
        <w:t>更多相关图书推荐：https://www.jiaokey.com</w:t>
      </w:r>
    </w:p>
    <w:p>
      <w:r>
        <w:t>（法）玛格丽特·尤瑟纳尔（Marguerite Yourcenar）著；赵克非译 其他作品：https://www.jiaokey.com/tag/（法）玛格丽特·尤瑟纳尔（Marguerite Yourcenar）著；赵克非译.html</w:t>
      </w:r>
    </w:p>
    <w:p>
      <w:r>
        <w:t>北京:东方出版社,2002.10 出版图书：https://www.jiaokey.com/tag/北京:东方出版社,2002.10.html</w:t>
      </w:r>
    </w:p>
    <w:p>
      <w:r>
        <w:t>关键词搜索：https://www.jiaokey.com/tag/长篇小说(地点:法国年代:现代)长篇小说.html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