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矿石和矿物的发光分析</w:t>
      </w:r>
    </w:p>
    <w:p>
      <w:r>
        <w:rPr>
          <w:rFonts w:ascii="宋体" w:hAnsi="宋体" w:eastAsia="宋体"/>
          <w:sz w:val="24"/>
        </w:rPr>
        <w:t>（苏）柯莫夫斯基（Г.Ф.Комовский），（苏）洛日尼科娃（О.Н.Ложникова）著；杨正莘译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矿石和矿物的发光分析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（苏）柯莫夫斯基（Г.Ф.Комовский），（苏）洛日尼科娃（О.Н.Ложникова）著；杨正莘译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本书出售、求购地址：https://www.jiaokey.com/book/detail/11028769.html</w:t>
      </w:r>
    </w:p>
    <w:p>
      <w:r>
        <w:t>更多相关图书推荐：https://www.jiaokey.com</w:t>
      </w:r>
    </w:p>
    <w:p>
      <w:r>
        <w:t>（苏）柯莫夫斯基（Г.Ф.Комовский），（苏）洛日尼科娃（О.Н.Ложникова）著；杨正莘译 其他作品：https://www.jiaokey.com/tag/（苏）柯莫夫斯基（Г.Ф.Комовский），（苏）洛日尼科娃（О.Н.Ложникова）著；杨正莘译.html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关键词搜索：https://www.jiaokey.com/tag/矿石和矿物的发光分析.html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