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荀子今注今译</w:t>
      </w:r>
    </w:p>
    <w:p>
      <w:r>
        <w:rPr>
          <w:rFonts w:ascii="宋体" w:hAnsi="宋体" w:eastAsia="宋体"/>
          <w:sz w:val="24"/>
        </w:rPr>
        <w:t>中华文化复兴运动推行委员会主编；熊公哲译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中华文化复兴运动推行委员会主编；熊公哲译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本书出售、求购地址：https://www.jiaokey.com/book/detail/11023651.html</w:t>
      </w:r>
    </w:p>
    <w:p>
      <w:r>
        <w:t>更多相关图书推荐：https://www.jiaokey.com</w:t>
      </w:r>
    </w:p>
    <w:p>
      <w:r>
        <w:t>中华文化复兴运动推行委员会主编；熊公哲译 其他作品：https://www.jiaokey.com/tag/中华文化复兴运动推行委员会主编；熊公哲译.html</w:t>
      </w:r>
    </w:p>
    <w:p>
      <w:r>
        <w:t>台湾商务印书馆 出版图书：https://www.jiaokey.com/tag/台湾商务印书馆.html</w:t>
      </w:r>
    </w:p>
    <w:p>
      <w:r>
        <w:t>关键词搜索：https://www.jiaokey.com/tag/荀子今注今译.html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