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太阳福射能</w:t>
      </w:r>
    </w:p>
    <w:p>
      <w:r>
        <w:rPr>
          <w:rFonts w:ascii="宋体" w:hAnsi="宋体" w:eastAsia="宋体"/>
          <w:sz w:val="24"/>
        </w:rPr>
        <w:t>（苏）康德拉捷夫，К.Я.著；李怀瑾等译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太阳福射能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（苏）康德拉捷夫，К.Я.著；李怀瑾等译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本书出售、求购地址：https://www.jiaokey.com/book/detail/11023059.html</w:t>
      </w:r>
    </w:p>
    <w:p>
      <w:r>
        <w:t>更多相关图书推荐：https://www.jiaokey.com</w:t>
      </w:r>
    </w:p>
    <w:p>
      <w:r>
        <w:t>（苏）康德拉捷夫，К.Я.著；李怀瑾等译 其他作品：https://www.jiaokey.com/tag/（苏）康德拉捷夫，К.Я.著；李怀瑾等译.html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关键词搜索：https://www.jiaokey.com/tag/太阳福射能.html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