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画法几何教程  下</w:t>
      </w:r>
    </w:p>
    <w:p>
      <w:r>
        <w:rPr>
          <w:rFonts w:ascii="宋体" w:hAnsi="宋体" w:eastAsia="宋体"/>
          <w:sz w:val="24"/>
        </w:rPr>
        <w:t>Н.А.波波夫著；浙江大学画法几何及制图教研组译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Н.А.波波夫著；浙江大学画法几何及制图教研组译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本书出售、求购地址：https://www.jiaokey.com/book/detail/11020502.html</w:t>
      </w:r>
    </w:p>
    <w:p>
      <w:r>
        <w:t>更多相关图书推荐：https://www.jiaokey.com</w:t>
      </w:r>
    </w:p>
    <w:p>
      <w:r>
        <w:t>Н.А.波波夫著；浙江大学画法几何及制图教研组译 其他作品：https://www.jiaokey.com/tag/Н.А.波波夫著；浙江大学画法几何及制图教研组译.html</w:t>
      </w:r>
    </w:p>
    <w:p>
      <w:r>
        <w:t>关键词搜索：https://www.jiaokey.com/tag/画法几何教程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