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画法几何方法及其应用</w:t>
      </w:r>
    </w:p>
    <w:p>
      <w:r>
        <w:rPr>
          <w:rFonts w:ascii="宋体" w:hAnsi="宋体" w:eastAsia="宋体"/>
          <w:sz w:val="24"/>
        </w:rPr>
        <w:t>（苏）切特维鲁新，Н.Х.编；武汉水利学院画法几何及制图教研组，清华大学画法几何及工程画教研组译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画法几何方法及其应用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（苏）切特维鲁新，Н.Х.编；武汉水利学院画法几何及制图教研组，清华大学画法几何及工程画教研组译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本书出售、求购地址：https://www.jiaokey.com/book/detail/11020490.html</w:t>
      </w:r>
    </w:p>
    <w:p>
      <w:r>
        <w:t>更多相关图书推荐：https://www.jiaokey.com</w:t>
      </w:r>
    </w:p>
    <w:p>
      <w:r>
        <w:t>（苏）切特维鲁新，Н.Х.编；武汉水利学院画法几何及制图教研组，清华大学画法几何及工程画教研组译 其他作品：https://www.jiaokey.com/tag/（苏）切特维鲁新，Н.Х.编；武汉水利学院画法几何及制图教研组，清华大学画法几何及工程画教研组译.html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关键词搜索：https://www.jiaokey.com/tag/画法几何方法及其应用.html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