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</w:t>
      </w:r>
    </w:p>
    <w:p>
      <w:r>
        <w:rPr>
          <w:rFonts w:ascii="宋体" w:hAnsi="宋体" w:eastAsia="宋体"/>
          <w:sz w:val="24"/>
        </w:rPr>
        <w:t>北京大学俄语系公共俄语教研室，俞仁山，贾敏，董青编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北京大学俄语系公共俄语教研室，俞仁山，贾敏，董青编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本书出售、求购地址：https://www.jiaokey.com/book/detail/11018275.html</w:t>
      </w:r>
    </w:p>
    <w:p>
      <w:r>
        <w:t>更多相关图书推荐：https://www.jiaokey.com</w:t>
      </w:r>
    </w:p>
    <w:p>
      <w:r>
        <w:t>北京大学俄语系公共俄语教研室，俞仁山，贾敏，董青编 其他作品：https://www.jiaokey.com/tag/北京大学俄语系公共俄语教研室，俞仁山，贾敏，董青编.html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