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珠江三角洲及港澳地区的社会经济发展</w:t>
      </w:r>
    </w:p>
    <w:p>
      <w:r>
        <w:rPr>
          <w:rFonts w:ascii="宋体" w:hAnsi="宋体" w:eastAsia="宋体"/>
          <w:sz w:val="24"/>
        </w:rPr>
        <w:t>邓树雄，胡敦霭主编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珠江三角洲及港澳地区的社会经济发展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邓树雄，胡敦霭主编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香港浸会学院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本书出售、求购地址：https://www.jiaokey.com/book/detail/11015445.html</w:t>
      </w:r>
    </w:p>
    <w:p>
      <w:r>
        <w:t>更多相关图书推荐：https://www.jiaokey.com</w:t>
      </w:r>
    </w:p>
    <w:p>
      <w:r>
        <w:t>邓树雄，胡敦霭主编 其他作品：https://www.jiaokey.com/tag/邓树雄，胡敦霭主编.html</w:t>
      </w:r>
    </w:p>
    <w:p>
      <w:r>
        <w:t>香港浸会学院 出版图书：https://www.jiaokey.com/tag/香港浸会学院.html</w:t>
      </w:r>
    </w:p>
    <w:p>
      <w:r>
        <w:t>关键词搜索：https://www.jiaokey.com/tag/珠江三角洲及港澳地区的社会经济发展.html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