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诉权</w:t>
      </w:r>
    </w:p>
    <w:p>
      <w:r>
        <w:rPr>
          <w:rFonts w:ascii="宋体" w:hAnsi="宋体" w:eastAsia="宋体"/>
          <w:sz w:val="24"/>
        </w:rPr>
        <w:t>（苏）顾尔维奇（М.А.Гурвич）著；康宝田，沈其昌译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（苏）顾尔维奇（М.А.Гурвич）著；康宝田，沈其昌译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本书出售、求购地址：https://www.jiaokey.com/book/detail/11014405.html</w:t>
      </w:r>
    </w:p>
    <w:p>
      <w:r>
        <w:t>更多相关图书推荐：https://www.jiaokey.com</w:t>
      </w:r>
    </w:p>
    <w:p>
      <w:r>
        <w:t>（苏）顾尔维奇（М.А.Гурвич）著；康宝田，沈其昌译 其他作品：https://www.jiaokey.com/tag/（苏）顾尔维奇（М.А.Гурвич）著；康宝田，沈其昌译.html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关键词搜索：https://www.jiaokey.com/tag/诉权.html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