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国际金融法律实务</w:t>
      </w:r>
    </w:p>
    <w:p>
      <w:r>
        <w:rPr>
          <w:rFonts w:ascii="宋体" w:hAnsi="宋体" w:eastAsia="宋体"/>
          <w:sz w:val="24"/>
        </w:rPr>
        <w:t>沈乐平，张南鸣著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沈乐平，张南鸣著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本书出售、求购地址：https://www.jiaokey.com/book/detail/11013688.html</w:t>
      </w:r>
    </w:p>
    <w:p>
      <w:r>
        <w:t>更多相关图书推荐：https://www.jiaokey.com</w:t>
      </w:r>
    </w:p>
    <w:p>
      <w:r>
        <w:t>沈乐平，张南鸣著 其他作品：https://www.jiaokey.com/tag/沈乐平，张南鸣著.html</w:t>
      </w:r>
    </w:p>
    <w:p>
      <w:r>
        <w:t>香港出版集团有限公司 出版图书：https://www.jiaokey.com/tag/香港出版集团有限公司.html</w:t>
      </w:r>
    </w:p>
    <w:p>
      <w:r>
        <w:t>关键词搜索：https://www.jiaokey.com/tag/国际金融法律实务.html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