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民法继承新论</w:t>
      </w:r>
    </w:p>
    <w:p>
      <w:r>
        <w:rPr>
          <w:rFonts w:ascii="宋体" w:hAnsi="宋体" w:eastAsia="宋体"/>
          <w:sz w:val="24"/>
        </w:rPr>
        <w:t>陈黄郭，棋宗振，炎乐恭著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陈黄郭，棋宗振，炎乐恭著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本书出售、求购地址：https://www.jiaokey.com/book/detail/11013434.html</w:t>
      </w:r>
    </w:p>
    <w:p>
      <w:r>
        <w:t>更多相关图书推荐：https://www.jiaokey.com</w:t>
      </w:r>
    </w:p>
    <w:p>
      <w:r>
        <w:t>陈黄郭，棋宗振，炎乐恭著 其他作品：https://www.jiaokey.com/tag/陈黄郭，棋宗振，炎乐恭著.html</w:t>
      </w:r>
    </w:p>
    <w:p>
      <w:r>
        <w:t>三民书局 出版图书：https://www.jiaokey.com/tag/三民书局.html</w:t>
      </w:r>
    </w:p>
    <w:p>
      <w:r>
        <w:t>关键词搜索：https://www.jiaokey.com/tag/民法继承新论.html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