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人民法院对社会主义所有制的保护</w:t>
      </w:r>
    </w:p>
    <w:p>
      <w:r>
        <w:rPr>
          <w:rFonts w:ascii="宋体" w:hAnsi="宋体" w:eastAsia="宋体"/>
          <w:sz w:val="24"/>
        </w:rPr>
        <w:t>（苏）包尔多诺夫（С.А.Бордонов）著；郭瑞一，谌兰生译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人民法院对社会主义所有制的保护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（苏）包尔多诺夫（С.А.Бордонов）著；郭瑞一，谌兰生译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本书出售、求购地址：https://www.jiaokey.com/book/detail/11012883.html</w:t>
      </w:r>
    </w:p>
    <w:p>
      <w:r>
        <w:t>更多相关图书推荐：https://www.jiaokey.com</w:t>
      </w:r>
    </w:p>
    <w:p>
      <w:r>
        <w:t>（苏）包尔多诺夫（С.А.Бордонов）著；郭瑞一，谌兰生译 其他作品：https://www.jiaokey.com/tag/（苏）包尔多诺夫（С.А.Бордонов）著；郭瑞一，谌兰生译.html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关键词搜索：https://www.jiaokey.com/tag/人民法院对社会主义所有制的保护.html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