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集体农庄和居民的税捐</w:t>
      </w:r>
    </w:p>
    <w:p>
      <w:r>
        <w:rPr>
          <w:rFonts w:ascii="宋体" w:hAnsi="宋体" w:eastAsia="宋体"/>
          <w:sz w:val="24"/>
        </w:rPr>
        <w:t>（苏）查普庚（Н.Цапкин）等著；李宏略，杨魁信译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集体农庄和居民的税捐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（苏）查普庚（Н.Цапкин）等著；李宏略，杨魁信译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税收收入(地点: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本书出售、求购地址：https://www.jiaokey.com/book/detail/11012673.html</w:t>
      </w:r>
    </w:p>
    <w:p>
      <w:r>
        <w:t>更多相关图书推荐：https://www.jiaokey.com</w:t>
      </w:r>
    </w:p>
    <w:p>
      <w:r>
        <w:t>（苏）查普庚（Н.Цапкин）等著；李宏略，杨魁信译 其他作品：https://www.jiaokey.com/tag/（苏）查普庚（Н.Цапкин）等著；李宏略，杨魁信译.html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关键词搜索：https://www.jiaokey.com/tag/税收收入(地点: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