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银行结算与信贷业务的处理手续</w:t>
      </w:r>
    </w:p>
    <w:p>
      <w:r>
        <w:rPr>
          <w:rFonts w:ascii="宋体" w:hAnsi="宋体" w:eastAsia="宋体"/>
          <w:sz w:val="24"/>
        </w:rPr>
        <w:t>（苏）施瓦尔茨（Л.В.Шварц）著；鄂嵩俊，于学博译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126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银行结算与信贷业务的处理手续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（苏）施瓦尔茨（Л.В.Шварц）著；鄂嵩俊，于学博译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信用-结算业务 结算业务-信用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本书出售、求购地址：https://www.jiaokey.com/book/detail/11012652.html</w:t>
      </w:r>
    </w:p>
    <w:p>
      <w:r>
        <w:t>更多相关图书推荐：https://www.jiaokey.com</w:t>
      </w:r>
    </w:p>
    <w:p>
      <w:r>
        <w:t>（苏）施瓦尔茨（Л.В.Шварц）著；鄂嵩俊，于学博译 其他作品：https://www.jiaokey.com/tag/（苏）施瓦尔茨（Л.В.Шварц）著；鄂嵩俊，于学博译.html</w:t>
      </w:r>
    </w:p>
    <w:p>
      <w:r>
        <w:t>北京：财政经济出版社 出版图书：https://www.jiaokey.com/tag/北京：财政经济出版社.html</w:t>
      </w:r>
    </w:p>
    <w:p>
      <w:r>
        <w:t>关键词搜索：https://www.jiaokey.com/tag/信用-结算业务 结算业务-信用.html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