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纺织品贸易</w:t>
      </w:r>
    </w:p>
    <w:p>
      <w:r>
        <w:rPr>
          <w:rFonts w:ascii="宋体" w:hAnsi="宋体" w:eastAsia="宋体"/>
          <w:sz w:val="24"/>
        </w:rPr>
        <w:t>（苏）莫德斯托娃（Т.А.Модестова），（苏）艾捷士切英（И.М.Айзенштейн）著；高同福译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（苏）莫德斯托娃（Т.А.Модестова），（苏）艾捷士切英（И.М.Айзенштейн）著；高同福译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纺织品-商品学 商品学-纺织品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本书出售、求购地址：https://www.jiaokey.com/book/detail/11012404.html</w:t>
      </w:r>
    </w:p>
    <w:p>
      <w:r>
        <w:t>更多相关图书推荐：https://www.jiaokey.com</w:t>
      </w:r>
    </w:p>
    <w:p>
      <w:r>
        <w:t>（苏）莫德斯托娃（Т.А.Модестова），（苏）艾捷士切英（И.М.Айзенштейн）著；高同福译 其他作品：https://www.jiaokey.com/tag/（苏）莫德斯托娃（Т.А.Модестова），（苏）艾捷士切英（И.М.Айзенштейн）著；高同福译.html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关键词搜索：https://www.jiaokey.com/tag/纺织品-商品学 商品学-纺织品.html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