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苏联工业固定资产的物质损耗与无形损耗</w:t>
      </w:r>
    </w:p>
    <w:p>
      <w:r>
        <w:rPr>
          <w:rFonts w:ascii="宋体" w:hAnsi="宋体" w:eastAsia="宋体"/>
          <w:sz w:val="24"/>
        </w:rPr>
        <w:t>（苏）别夫兹涅尔，С.Л著；第一机械工业部机械制造与工艺科学研究院译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苏联工业固定资产的物质损耗与无形损耗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（苏）别夫兹涅尔，С.Л著；第一机械工业部机械制造与工艺科学研究院译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本书出售、求购地址：https://www.jiaokey.com/book/detail/11011980.html</w:t>
      </w:r>
    </w:p>
    <w:p>
      <w:r>
        <w:t>更多相关图书推荐：https://www.jiaokey.com</w:t>
      </w:r>
    </w:p>
    <w:p>
      <w:r>
        <w:t>（苏）别夫兹涅尔，С.Л著；第一机械工业部机械制造与工艺科学研究院译 其他作品：https://www.jiaokey.com/tag/（苏）别夫兹涅尔，С.Л著；第一机械工业部机械制造与工艺科学研究院译.html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关键词搜索：https://www.jiaokey.com/tag/苏联工业固定资产的物质损耗与无形损耗.html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