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工业企业固定资产利用情况的核算</w:t>
      </w:r>
    </w:p>
    <w:p>
      <w:r>
        <w:rPr>
          <w:rFonts w:ascii="宋体" w:hAnsi="宋体" w:eastAsia="宋体"/>
          <w:sz w:val="24"/>
        </w:rPr>
        <w:t>（苏）德米特里也夫（М.В.Дмитриев）著；张贤务，陈慧译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工业企业固定资产利用情况的核算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（苏）德米特里也夫（М.В.Дмитриев）著；张贤务，陈慧译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本书出售、求购地址：https://www.jiaokey.com/book/detail/11011974.html</w:t>
      </w:r>
    </w:p>
    <w:p>
      <w:r>
        <w:t>更多相关图书推荐：https://www.jiaokey.com</w:t>
      </w:r>
    </w:p>
    <w:p>
      <w:r>
        <w:t>（苏）德米特里也夫（М.В.Дмитриев）著；张贤务，陈慧译 其他作品：https://www.jiaokey.com/tag/（苏）德米特里也夫（М.В.Дмитриев）著；张贤务，陈慧译.html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关键词搜索：https://www.jiaokey.com/tag/工业企业固定资产利用情况的核算.html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