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社会主义扩大再生产规律</w:t>
      </w:r>
    </w:p>
    <w:p>
      <w:r>
        <w:rPr>
          <w:rFonts w:ascii="宋体" w:hAnsi="宋体" w:eastAsia="宋体"/>
          <w:sz w:val="24"/>
        </w:rPr>
        <w:t>伊·库兹米诺夫等原著；谷衣译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社会主义扩大再生产规律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伊·库兹米诺夫等原著；谷衣译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本书出售、求购地址：https://www.jiaokey.com/book/detail/11011550.html</w:t>
      </w:r>
    </w:p>
    <w:p>
      <w:r>
        <w:t>更多相关图书推荐：https://www.jiaokey.com</w:t>
      </w:r>
    </w:p>
    <w:p>
      <w:r>
        <w:t>伊·库兹米诺夫等原著；谷衣译 其他作品：https://www.jiaokey.com/tag/伊·库兹米诺夫等原著；谷衣译.html</w:t>
      </w:r>
    </w:p>
    <w:p>
      <w:r>
        <w:t>关键词搜索：https://www.jiaokey.com/tag/社会主义扩大再生产规律.html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