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支配和影响我国过渡时期个体经济的经济规律</w:t>
      </w:r>
    </w:p>
    <w:p>
      <w:r>
        <w:rPr>
          <w:rFonts w:ascii="宋体" w:hAnsi="宋体" w:eastAsia="宋体"/>
          <w:sz w:val="24"/>
        </w:rPr>
        <w:t>蒋学模著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支配和影响我国过渡时期个体经济的经济规律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本书出售、求购地址：https://www.jiaokey.com/book/detail/11011243.html</w:t>
      </w:r>
    </w:p>
    <w:p>
      <w:r>
        <w:t>更多相关图书推荐：https://www.jiaokey.com</w:t>
      </w:r>
    </w:p>
    <w:p>
      <w:r>
        <w:t>蒋学模著 其他作品：https://www.jiaokey.com/tag/蒋学模著.html</w:t>
      </w:r>
    </w:p>
    <w:p>
      <w:r>
        <w:t>北京：学习生活出版社 出版图书：https://www.jiaokey.com/tag/北京：学习生活出版社.html</w:t>
      </w:r>
    </w:p>
    <w:p>
      <w:r>
        <w:t>关键词搜索：https://www.jiaokey.com/tag/支配和影响我国过渡时期个体经济的经济规律.html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