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迎接期货市场全面开放</w:t>
      </w:r>
    </w:p>
    <w:p>
      <w:r>
        <w:rPr>
          <w:rFonts w:ascii="宋体" w:hAnsi="宋体" w:eastAsia="宋体"/>
          <w:sz w:val="24"/>
        </w:rPr>
        <w:t>黄金山编著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迎接期货市场全面开放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本书出售、求购地址：https://www.jiaokey.com/book/detail/11009079.html</w:t>
      </w:r>
    </w:p>
    <w:p>
      <w:r>
        <w:t>更多相关图书推荐：https://www.jiaokey.com</w:t>
      </w:r>
    </w:p>
    <w:p>
      <w:r>
        <w:t>黄金山编著 其他作品：https://www.jiaokey.com/tag/黄金山编著.html</w:t>
      </w:r>
    </w:p>
    <w:p>
      <w:r>
        <w:t>台芝文化事业有限公司 出版图书：https://www.jiaokey.com/tag/台芝文化事业有限公司.html</w:t>
      </w:r>
    </w:p>
    <w:p>
      <w:r>
        <w:t>关键词搜索：https://www.jiaokey.com/tag/迎接期货市场全面开放.html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