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股票投资怎样分化风险？</w:t>
      </w:r>
    </w:p>
    <w:p>
      <w:r>
        <w:rPr>
          <w:rFonts w:ascii="宋体" w:hAnsi="宋体" w:eastAsia="宋体"/>
          <w:sz w:val="24"/>
        </w:rPr>
        <w:t>陈日盛编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股票投资怎样分化风险？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本书出售、求购地址：https://www.jiaokey.com/book/detail/11009062.html</w:t>
      </w:r>
    </w:p>
    <w:p>
      <w:r>
        <w:t>更多相关图书推荐：https://www.jiaokey.com</w:t>
      </w:r>
    </w:p>
    <w:p>
      <w:r>
        <w:t>陈日盛编 其他作品：https://www.jiaokey.com/tag/陈日盛编.html</w:t>
      </w:r>
    </w:p>
    <w:p>
      <w:r>
        <w:t>宝威图书公司 出版图书：https://www.jiaokey.com/tag/宝威图书公司.html</w:t>
      </w:r>
    </w:p>
    <w:p>
      <w:r>
        <w:t>关键词搜索：https://www.jiaokey.com/tag/股票投资怎样分化风险？.html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