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多元货币论  兼论“一国两制”下的货币理论与策略</w:t>
      </w:r>
    </w:p>
    <w:p>
      <w:r>
        <w:rPr>
          <w:rFonts w:ascii="宋体" w:hAnsi="宋体" w:eastAsia="宋体"/>
          <w:sz w:val="24"/>
        </w:rPr>
        <w:t>萧志成著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多元货币论  兼论“一国两制”下的货币理论与策略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本书出售、求购地址：https://www.jiaokey.com/book/detail/11008992.html</w:t>
      </w:r>
    </w:p>
    <w:p>
      <w:r>
        <w:t>更多相关图书推荐：https://www.jiaokey.com</w:t>
      </w:r>
    </w:p>
    <w:p>
      <w:r>
        <w:t>萧志成著 其他作品：https://www.jiaokey.com/tag/萧志成著.html</w:t>
      </w:r>
    </w:p>
    <w:p>
      <w:r>
        <w:t>澳门基金会 出版图书：https://www.jiaokey.com/tag/澳门基金会.html</w:t>
      </w:r>
    </w:p>
    <w:p>
      <w:r>
        <w:t>关键词搜索：https://www.jiaokey.com/tag/多元货币论  兼论“一国两制”下的货币理论与策略.html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