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中国反传统主义的贫困  刘晓波与偶像破坏的乌托邦</w:t>
      </w:r>
    </w:p>
    <w:p>
      <w:r>
        <w:rPr>
          <w:rFonts w:ascii="宋体" w:hAnsi="宋体" w:eastAsia="宋体"/>
          <w:sz w:val="24"/>
        </w:rPr>
        <w:t>顾昕著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中国反传统主义的贫困  刘晓波与偶像破坏的乌托邦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本书出售、求购地址：https://www.jiaokey.com/book/detail/11008426.html</w:t>
      </w:r>
    </w:p>
    <w:p>
      <w:r>
        <w:t>更多相关图书推荐：https://www.jiaokey.com</w:t>
      </w:r>
    </w:p>
    <w:p>
      <w:r>
        <w:t>顾昕著 其他作品：https://www.jiaokey.com/tag/顾昕著.html</w:t>
      </w:r>
    </w:p>
    <w:p>
      <w:r>
        <w:t>风云时代出版公司 出版图书：https://www.jiaokey.com/tag/风云时代出版公司.html</w:t>
      </w:r>
    </w:p>
    <w:p>
      <w:r>
        <w:t>关键词搜索：https://www.jiaokey.com/tag/中国反传统主义的贫困  刘晓波与偶像破坏的乌托邦.html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