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关于掌握中国资产阶级的性格并和中国资产阶级的错误思想进行斗争的问题</w:t>
      </w:r>
    </w:p>
    <w:p>
      <w:r>
        <w:rPr>
          <w:rFonts w:ascii="宋体" w:hAnsi="宋体" w:eastAsia="宋体"/>
          <w:sz w:val="24"/>
        </w:rPr>
        <w:t>冯定撰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关于掌握中国资产阶级的性格并和中国资产阶级的错误思想进行斗争的问题</w:t>
            </w:r>
          </w:p>
        </w:tc>
      </w:tr>
      <w:tr>
        <w:tc>
          <w:tcPr>
            <w:tcW w:type="dxa" w:w="4320"/>
          </w:tcPr>
          <w:p>
            <w:r>
              <w:t>作者</w:t>
            </w:r>
          </w:p>
        </w:tc>
        <w:tc>
          <w:tcPr>
            <w:tcW w:type="dxa" w:w="4320"/>
          </w:tcPr>
          <w:p>
            <w:r>
              <w:t>冯定撰</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1952-01-01</w:t>
            </w:r>
          </w:p>
        </w:tc>
      </w:tr>
      <w:tr>
        <w:tc>
          <w:tcPr>
            <w:tcW w:type="dxa" w:w="4320"/>
          </w:tcPr>
          <w:p>
            <w:r>
              <w:t>页数</w:t>
            </w:r>
          </w:p>
        </w:tc>
        <w:tc>
          <w:tcPr>
            <w:tcW w:type="dxa" w:w="4320"/>
          </w:tcPr>
          <w:p>
            <w:r>
              <w:t>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本书出售、求购地址：https://www.jiaokey.com/book/detail/11007197.html</w:t>
      </w:r>
    </w:p>
    <w:p>
      <w:r>
        <w:t>更多相关图书推荐：https://www.jiaokey.com</w:t>
      </w:r>
    </w:p>
    <w:p>
      <w:r>
        <w:t>冯定撰 其他作品：https://www.jiaokey.com/tag/冯定撰.html</w:t>
      </w:r>
    </w:p>
    <w:p>
      <w:r>
        <w:t>北京：人民出版社 出版图书：https://www.jiaokey.com/tag/北京：人民出版社.html</w:t>
      </w:r>
    </w:p>
    <w:p>
      <w:r>
        <w:t>关键词搜索：https://www.jiaokey.com/tag/关于掌握中国资产阶级的性格并和中国资产阶级的错误思想进行斗争的问题.html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