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食物的未来  国际生物技术市场与政策</w:t>
      </w:r>
    </w:p>
    <w:p>
      <w:r>
        <w:rPr>
          <w:rFonts w:ascii="宋体" w:hAnsi="宋体" w:eastAsia="宋体"/>
          <w:sz w:val="24"/>
        </w:rPr>
        <w:t>（澳）菲力普·G.帕迪（Phillip G.Pardey）编著；温思美，孙良媛等译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食物的未来  国际生物技术市场与政策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（澳）菲力普·G.帕迪（Phillip G.Pardey）编著；温思美，孙良媛等译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本书出售、求购地址：https://www.jiaokey.com/book/detail/11007051.html</w:t>
      </w:r>
    </w:p>
    <w:p>
      <w:r>
        <w:t>更多相关图书推荐：https://www.jiaokey.com</w:t>
      </w:r>
    </w:p>
    <w:p>
      <w:r>
        <w:t>（澳）菲力普·G.帕迪（Phillip G.Pardey）编著；温思美，孙良媛等译 其他作品：https://www.jiaokey.com/tag/（澳）菲力普·G.帕迪（Phillip G.Pardey）编著；温思美，孙良媛等译.html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关键词搜索：https://www.jiaokey.com/tag/食物的未来  国际生物技术市场与政策.html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