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越南劳动党领导武装斗争和建设革命武装力量的主要经验</w:t>
      </w:r>
    </w:p>
    <w:p>
      <w:r>
        <w:rPr>
          <w:rFonts w:ascii="宋体" w:hAnsi="宋体" w:eastAsia="宋体"/>
          <w:sz w:val="24"/>
        </w:rPr>
        <w:t>（越）武元甲著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越南劳动党领导武装斗争和建设革命武装力量的主要经验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（越）武元甲著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越南：越南外文出版社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本书出售、求购地址：https://www.jiaokey.com/book/detail/11006153.html</w:t>
      </w:r>
    </w:p>
    <w:p>
      <w:r>
        <w:t>更多相关图书推荐：https://www.jiaokey.com</w:t>
      </w:r>
    </w:p>
    <w:p>
      <w:r>
        <w:t>（越）武元甲著 其他作品：https://www.jiaokey.com/tag/（越）武元甲著.html</w:t>
      </w:r>
    </w:p>
    <w:p>
      <w:r>
        <w:t>越南：越南外文出版社 出版图书：https://www.jiaokey.com/tag/越南：越南外文出版社.html</w:t>
      </w:r>
    </w:p>
    <w:p>
      <w:r>
        <w:t>关键词搜索：https://www.jiaokey.com/tag/越南劳动党领导武装斗争和建设革命武装力量的主要经验.html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