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兵士兼统帅  苏渥洛夫生平事业概论</w:t>
      </w:r>
    </w:p>
    <w:p>
      <w:r>
        <w:rPr>
          <w:rFonts w:ascii="宋体" w:hAnsi="宋体" w:eastAsia="宋体"/>
          <w:sz w:val="24"/>
        </w:rPr>
        <w:t>（苏）皮加列夫（К.Пигарев）撰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兵士兼统帅  苏渥洛夫生平事业概论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（苏）皮加列夫（К.Пигарев）撰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本书出售、求购地址：https://www.jiaokey.com/book/detail/11005271.html</w:t>
      </w:r>
    </w:p>
    <w:p>
      <w:r>
        <w:t>更多相关图书推荐：https://www.jiaokey.com</w:t>
      </w:r>
    </w:p>
    <w:p>
      <w:r>
        <w:t>（苏）皮加列夫（К.Пигарев）撰 其他作品：https://www.jiaokey.com/tag/（苏）皮加列夫（К.Пигарев）撰.html</w:t>
      </w:r>
    </w:p>
    <w:p>
      <w:r>
        <w:t>时代出版社 出版图书：https://www.jiaokey.com/tag/时代出版社.html</w:t>
      </w:r>
    </w:p>
    <w:p>
      <w:r>
        <w:t>关键词搜索：https://www.jiaokey.com/tag/兵士兼统帅  苏渥洛夫生平事业概论.html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