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</w:t>
      </w:r>
    </w:p>
    <w:p>
      <w:r>
        <w:rPr>
          <w:rFonts w:ascii="宋体" w:hAnsi="宋体" w:eastAsia="宋体"/>
          <w:sz w:val="24"/>
        </w:rPr>
        <w:t>（日）青井伦一主编；全球工作组股份有限公司著；方晓霞译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（日）青井伦一主编；全球工作组股份有限公司著；方晓霞译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本书出售、求购地址：https://www.jiaokey.com/book/detail/11004848.html</w:t>
      </w:r>
    </w:p>
    <w:p>
      <w:r>
        <w:t>更多相关图书推荐：https://www.jiaokey.com</w:t>
      </w:r>
    </w:p>
    <w:p>
      <w:r>
        <w:t>（日）青井伦一主编；全球工作组股份有限公司著；方晓霞译 其他作品：https://www.jiaokey.com/tag/（日）青井伦一主编；全球工作组股份有限公司著；方晓霞译.html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