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企业应付变化的战略  逻辑渐进法</w:t>
      </w:r>
    </w:p>
    <w:p>
      <w:r>
        <w:rPr>
          <w:rFonts w:ascii="宋体" w:hAnsi="宋体" w:eastAsia="宋体"/>
          <w:sz w:val="24"/>
        </w:rPr>
        <w:t>（美）奎u3000因（Quinn，J.B.）著；上海科技干部进修学院编译组译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企业应付变化的战略  逻辑渐进法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（美）奎u3000因（Quinn，J.B.）著；上海科技干部进修学院编译组译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本书出售、求购地址：https://www.jiaokey.com/book/detail/11004524.html</w:t>
      </w:r>
    </w:p>
    <w:p>
      <w:r>
        <w:t>更多相关图书推荐：https://www.jiaokey.com</w:t>
      </w:r>
    </w:p>
    <w:p>
      <w:r>
        <w:t>（美）奎u3000因（Quinn，J.B.）著；上海科技干部进修学院编译组译 其他作品：https://www.jiaokey.com/tag/（美）奎u3000因（Quinn，J.B.）著；上海科技干部进修学院编译组译.html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关键词搜索：https://www.jiaokey.com/tag/企业应付变化的战略  逻辑渐进法.html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