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四川黄金生产</w:t>
      </w:r>
    </w:p>
    <w:p>
      <w:r>
        <w:rPr>
          <w:rFonts w:ascii="宋体" w:hAnsi="宋体" w:eastAsia="宋体"/>
          <w:sz w:val="24"/>
        </w:rPr>
        <w:t>潘贵生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四川黄金生产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潘贵生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四川省冶金工业厅冶金志编辑办公室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本书出售、求购地址：https://www.jiaokey.com/book/detail/11004282.html</w:t>
      </w:r>
    </w:p>
    <w:p>
      <w:r>
        <w:t>更多相关图书推荐：https://www.jiaokey.com</w:t>
      </w:r>
    </w:p>
    <w:p>
      <w:r>
        <w:t>潘贵生 其他作品：https://www.jiaokey.com/tag/潘贵生.html</w:t>
      </w:r>
    </w:p>
    <w:p>
      <w:r>
        <w:t>四川省冶金工业厅冶金志编辑办公室 出版图书：https://www.jiaokey.com/tag/四川省冶金工业厅冶金志编辑办公室.html</w:t>
      </w:r>
    </w:p>
    <w:p>
      <w:r>
        <w:t>关键词搜索：https://www.jiaokey.com/tag/四川黄金生产.html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