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中国渔业经济研究  第2章  建国以来我国渔业经济发展的主要成就</w:t>
      </w:r>
    </w:p>
    <w:p>
      <w:r>
        <w:rPr>
          <w:rFonts w:ascii="宋体" w:hAnsi="宋体" w:eastAsia="宋体"/>
          <w:sz w:val="24"/>
        </w:rPr>
        <w:t>高润英主编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中国渔业经济研究  第2章  建国以来我国渔业经济发展的主要成就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高润英主编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本书出售、求购地址：https://www.jiaokey.com/book/detail/10999654.html</w:t>
      </w:r>
    </w:p>
    <w:p>
      <w:r>
        <w:t>更多相关图书推荐：https://www.jiaokey.com</w:t>
      </w:r>
    </w:p>
    <w:p>
      <w:r>
        <w:t>高润英主编 其他作品：https://www.jiaokey.com/tag/高润英主编.html</w:t>
      </w:r>
    </w:p>
    <w:p>
      <w:r>
        <w:t>关键词搜索：https://www.jiaokey.com/tag/中国渔业经济研究  第2章  建国以来我国渔业经济发展的主要成就.html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